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072"/>
        </w:tabs>
        <w:jc w:val="both"/>
        <w:rPr>
          <w:rFonts w:hint="default" w:ascii="Arial" w:hAnsi="Arial" w:eastAsia="宋体"/>
          <w:b/>
          <w:i/>
          <w:color w:val="auto"/>
          <w:sz w:val="24"/>
          <w:lang w:val="en-US" w:eastAsia="zh-CN"/>
        </w:rPr>
      </w:pPr>
      <w:r>
        <w:rPr>
          <w:rFonts w:ascii="Arial" w:hAnsi="Arial" w:cs="Arial"/>
          <w:b/>
          <w:color w:val="auto"/>
          <w:sz w:val="24"/>
        </w:rPr>
        <w:t xml:space="preserve">3GPP TSG-RAN WG4 Meeting </w:t>
      </w:r>
      <w:r>
        <w:rPr>
          <w:rFonts w:hint="eastAsia" w:ascii="Arial" w:hAnsi="Arial" w:cs="Arial"/>
          <w:b/>
          <w:color w:val="auto"/>
          <w:sz w:val="24"/>
          <w:lang w:eastAsia="zh-CN"/>
        </w:rPr>
        <w:t>#</w:t>
      </w:r>
      <w:r>
        <w:rPr>
          <w:rFonts w:hint="eastAsia" w:ascii="Arial" w:hAnsi="Arial" w:cs="Arial"/>
          <w:b/>
          <w:color w:val="auto"/>
          <w:sz w:val="24"/>
          <w:lang w:val="en-US" w:eastAsia="zh-CN"/>
        </w:rPr>
        <w:t xml:space="preserve">103 </w:t>
      </w:r>
      <w:r>
        <w:rPr>
          <w:rFonts w:ascii="Arial" w:hAnsi="Arial" w:eastAsia="宋体" w:cs="Arial"/>
          <w:b/>
          <w:color w:val="auto"/>
          <w:sz w:val="24"/>
          <w:lang w:eastAsia="zh-CN"/>
        </w:rPr>
        <w:t>-e</w:t>
      </w:r>
      <w:r>
        <w:rPr>
          <w:rFonts w:ascii="Arial" w:hAnsi="Arial" w:eastAsia="MS Mincho"/>
          <w:b/>
          <w:color w:val="auto"/>
          <w:sz w:val="24"/>
        </w:rPr>
        <w:tab/>
      </w:r>
      <w:r>
        <w:rPr>
          <w:rFonts w:ascii="Arial" w:hAnsi="Arial"/>
          <w:b/>
          <w:color w:val="auto"/>
          <w:sz w:val="24"/>
          <w:lang w:eastAsia="zh-CN"/>
        </w:rPr>
        <w:t>R4-2</w:t>
      </w:r>
      <w:r>
        <w:rPr>
          <w:rFonts w:hint="eastAsia" w:ascii="Arial" w:hAnsi="Arial"/>
          <w:b/>
          <w:color w:val="auto"/>
          <w:sz w:val="24"/>
          <w:lang w:val="en-US" w:eastAsia="zh-CN"/>
        </w:rPr>
        <w:t>208775</w:t>
      </w:r>
    </w:p>
    <w:p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eastAsia="宋体"/>
          <w:b/>
          <w:color w:val="auto"/>
          <w:sz w:val="24"/>
          <w:lang w:val="en-GB" w:eastAsia="zh-CN"/>
        </w:rPr>
      </w:pPr>
      <w:r>
        <w:rPr>
          <w:rFonts w:ascii="Arial" w:hAnsi="Arial" w:eastAsia="宋体"/>
          <w:b/>
          <w:color w:val="auto"/>
          <w:sz w:val="24"/>
          <w:lang w:eastAsia="zh-CN"/>
        </w:rPr>
        <w:t xml:space="preserve">Electronic Meeting,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9 </w:t>
      </w:r>
      <w:r>
        <w:rPr>
          <w:rFonts w:ascii="Arial" w:hAnsi="Arial" w:cs="Arial"/>
          <w:b/>
          <w:bCs/>
          <w:sz w:val="24"/>
          <w:szCs w:val="24"/>
        </w:rPr>
        <w:t>–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20</w:t>
      </w:r>
      <w:r>
        <w:rPr>
          <w:rFonts w:ascii="Arial" w:hAnsi="Arial" w:cs="Arial"/>
          <w:b/>
          <w:bCs/>
          <w:sz w:val="24"/>
          <w:szCs w:val="24"/>
        </w:rPr>
        <w:t xml:space="preserve"> Ma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y</w:t>
      </w:r>
      <w:r>
        <w:rPr>
          <w:rFonts w:ascii="Arial" w:hAnsi="Arial" w:eastAsia="宋体"/>
          <w:b/>
          <w:color w:val="auto"/>
          <w:sz w:val="24"/>
          <w:lang w:eastAsia="zh-CN"/>
        </w:rPr>
        <w:t>, 202</w:t>
      </w:r>
      <w:r>
        <w:rPr>
          <w:rFonts w:hint="eastAsia" w:ascii="Arial" w:hAnsi="Arial" w:eastAsia="宋体"/>
          <w:b/>
          <w:color w:val="auto"/>
          <w:sz w:val="24"/>
          <w:lang w:val="en-US" w:eastAsia="zh-CN"/>
        </w:rPr>
        <w:t>2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hAnsi="Arial" w:eastAsia="宋体"/>
          <w:b/>
          <w:color w:val="auto"/>
          <w:sz w:val="24"/>
          <w:lang w:val="en-GB" w:eastAsia="zh-CN"/>
        </w:rPr>
      </w:pPr>
    </w:p>
    <w:p>
      <w:pPr>
        <w:pStyle w:val="14"/>
        <w:tabs>
          <w:tab w:val="left" w:pos="1800"/>
          <w:tab w:val="clear" w:pos="4536"/>
        </w:tabs>
        <w:spacing w:after="60"/>
        <w:ind w:left="1800" w:hanging="1800"/>
        <w:jc w:val="both"/>
        <w:rPr>
          <w:rFonts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Source:</w:t>
      </w:r>
      <w:r>
        <w:rPr>
          <w:color w:val="auto"/>
          <w:sz w:val="24"/>
        </w:rPr>
        <w:tab/>
      </w:r>
      <w:r>
        <w:rPr>
          <w:rFonts w:eastAsia="宋体"/>
          <w:color w:val="auto"/>
          <w:sz w:val="24"/>
          <w:lang w:val="en-US" w:eastAsia="zh-CN"/>
        </w:rPr>
        <w:t>ZTE Corporation</w:t>
      </w:r>
      <w:bookmarkStart w:id="4" w:name="_GoBack"/>
      <w:bookmarkEnd w:id="4"/>
    </w:p>
    <w:p>
      <w:pPr>
        <w:pStyle w:val="14"/>
        <w:tabs>
          <w:tab w:val="left" w:pos="1800"/>
          <w:tab w:val="clear" w:pos="4536"/>
        </w:tabs>
        <w:spacing w:after="60"/>
        <w:ind w:left="1807" w:hanging="1807" w:hangingChars="750"/>
        <w:rPr>
          <w:rFonts w:hint="default"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Title:</w:t>
      </w:r>
      <w:r>
        <w:rPr>
          <w:color w:val="auto"/>
          <w:sz w:val="24"/>
        </w:rPr>
        <w:tab/>
      </w:r>
      <w:bookmarkStart w:id="0" w:name="OLE_LINK4"/>
      <w:r>
        <w:rPr>
          <w:rFonts w:hint="eastAsia" w:eastAsia="宋体"/>
          <w:color w:val="auto"/>
          <w:sz w:val="24"/>
          <w:lang w:val="en-US" w:eastAsia="zh-CN"/>
        </w:rPr>
        <w:t xml:space="preserve">Discussion on </w:t>
      </w:r>
      <w:bookmarkEnd w:id="0"/>
      <w:r>
        <w:rPr>
          <w:rFonts w:hint="eastAsia" w:eastAsia="宋体"/>
          <w:color w:val="auto"/>
          <w:sz w:val="24"/>
          <w:lang w:val="en-US" w:eastAsia="zh-CN"/>
        </w:rPr>
        <w:t>Impact of MPE enhancements</w:t>
      </w:r>
    </w:p>
    <w:p>
      <w:pPr>
        <w:pStyle w:val="14"/>
        <w:tabs>
          <w:tab w:val="left" w:pos="1800"/>
          <w:tab w:val="left" w:pos="3825"/>
          <w:tab w:val="clear" w:pos="4536"/>
          <w:tab w:val="clear" w:pos="9072"/>
        </w:tabs>
        <w:spacing w:after="60"/>
        <w:jc w:val="both"/>
        <w:rPr>
          <w:rFonts w:hint="default"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Agenda Item:</w:t>
      </w:r>
      <w:r>
        <w:rPr>
          <w:color w:val="auto"/>
          <w:sz w:val="24"/>
        </w:rPr>
        <w:tab/>
      </w:r>
      <w:r>
        <w:rPr>
          <w:rFonts w:hint="eastAsia" w:eastAsia="宋体"/>
          <w:color w:val="auto"/>
          <w:sz w:val="24"/>
          <w:lang w:val="en-US" w:eastAsia="zh-CN"/>
        </w:rPr>
        <w:t>9.18.1.1</w:t>
      </w:r>
    </w:p>
    <w:p>
      <w:pPr>
        <w:pStyle w:val="14"/>
        <w:tabs>
          <w:tab w:val="left" w:pos="1800"/>
        </w:tabs>
        <w:snapToGrid w:val="0"/>
        <w:spacing w:after="240"/>
        <w:jc w:val="both"/>
        <w:rPr>
          <w:rFonts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Document for:</w:t>
      </w:r>
      <w:r>
        <w:rPr>
          <w:color w:val="auto"/>
          <w:sz w:val="24"/>
        </w:rPr>
        <w:tab/>
      </w:r>
      <w:r>
        <w:rPr>
          <w:rFonts w:hint="eastAsia" w:eastAsia="宋体"/>
          <w:color w:val="auto"/>
          <w:sz w:val="24"/>
          <w:lang w:val="en-US" w:eastAsia="zh-CN"/>
        </w:rPr>
        <w:t>Approval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color w:val="auto"/>
          <w:lang w:eastAsia="zh-CN"/>
        </w:rPr>
      </w:pPr>
      <w:r>
        <w:rPr>
          <w:rFonts w:eastAsia="宋体"/>
          <w:color w:val="auto"/>
          <w:lang w:eastAsia="zh-CN"/>
        </w:rPr>
        <w:t>Introduction</w:t>
      </w:r>
    </w:p>
    <w:p>
      <w:pPr>
        <w:pStyle w:val="3"/>
        <w:tabs>
          <w:tab w:val="left" w:pos="226"/>
          <w:tab w:val="left" w:pos="284"/>
          <w:tab w:val="left" w:pos="5103"/>
        </w:tabs>
        <w:snapToGrid w:val="0"/>
        <w:spacing w:before="156" w:beforeLines="50"/>
        <w:rPr>
          <w:rFonts w:hint="eastAsia" w:eastAsia="宋体"/>
          <w:color w:val="auto"/>
          <w:sz w:val="21"/>
          <w:szCs w:val="21"/>
          <w:lang w:val="en-US" w:eastAsia="zh-CN"/>
        </w:rPr>
      </w:pPr>
      <w:r>
        <w:rPr>
          <w:rFonts w:hint="eastAsia" w:eastAsia="宋体"/>
          <w:color w:val="auto"/>
          <w:sz w:val="21"/>
          <w:szCs w:val="21"/>
          <w:lang w:val="en-US" w:eastAsia="zh-CN"/>
        </w:rPr>
        <w:t>During</w:t>
      </w:r>
      <w:r>
        <w:rPr>
          <w:rFonts w:hint="default" w:eastAsia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eastAsia="宋体"/>
          <w:color w:val="auto"/>
          <w:sz w:val="21"/>
          <w:szCs w:val="21"/>
          <w:lang w:val="en-US" w:eastAsia="zh-CN"/>
        </w:rPr>
        <w:t>102 e-meeting, one WF [1] was approved about MPE enhancements, the agreements are summarized as follows.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pStyle w:val="27"/>
              <w:numPr>
                <w:ilvl w:val="0"/>
                <w:numId w:val="0"/>
              </w:numPr>
              <w:rPr>
                <w:color w:val="auto"/>
                <w:highlight w:val="green"/>
                <w:lang w:eastAsia="zh-CN"/>
              </w:rPr>
            </w:pPr>
            <w:bookmarkStart w:id="1" w:name="_Hlk97242871"/>
            <w:r>
              <w:rPr>
                <w:color w:val="auto"/>
                <w:highlight w:val="green"/>
                <w:lang w:eastAsia="zh-CN"/>
              </w:rPr>
              <w:t>Agreement</w:t>
            </w:r>
          </w:p>
          <w:p>
            <w:pPr>
              <w:pStyle w:val="27"/>
              <w:numPr>
                <w:ilvl w:val="0"/>
                <w:numId w:val="4"/>
              </w:numPr>
              <w:ind w:left="760" w:leftChars="0" w:hanging="360" w:firstLineChars="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There is no change on the equation for Pumax boundaries</w:t>
            </w:r>
          </w:p>
          <w:p>
            <w:pPr>
              <w:pStyle w:val="27"/>
              <w:numPr>
                <w:ilvl w:val="1"/>
                <w:numId w:val="4"/>
              </w:numPr>
              <w:ind w:left="1200" w:leftChars="0" w:hanging="400" w:firstLineChars="0"/>
              <w:rPr>
                <w:rFonts w:hint="default" w:eastAsia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eastAsia="Malgun Gothic"/>
                <w:color w:val="auto"/>
                <w:lang w:eastAsia="ko-KR"/>
              </w:rPr>
              <w:t>The necessity of a new note can be discussed to clarify the P-MPR based on RAN1 feedback in Section 6.2.4 of 38.101-2 without changing of the equation in TEI</w:t>
            </w:r>
          </w:p>
          <w:p>
            <w:pPr>
              <w:pStyle w:val="27"/>
              <w:numPr>
                <w:ilvl w:val="1"/>
                <w:numId w:val="4"/>
              </w:numPr>
              <w:ind w:left="1200" w:leftChars="0" w:hanging="400" w:firstLineChars="0"/>
              <w:rPr>
                <w:rFonts w:hint="default" w:eastAsia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color w:val="auto"/>
                <w:lang w:eastAsia="zh-CN"/>
              </w:rPr>
              <w:t>There is no change on the equation for Pcmax boundaries, but add the note to clarify the Pcmax boundaries are specified based on per cell-based P-MPR based on RAN1 feedback.</w:t>
            </w:r>
            <w:bookmarkEnd w:id="1"/>
          </w:p>
        </w:tc>
      </w:tr>
    </w:tbl>
    <w:p>
      <w:pPr>
        <w:pStyle w:val="3"/>
        <w:tabs>
          <w:tab w:val="left" w:pos="226"/>
          <w:tab w:val="left" w:pos="284"/>
          <w:tab w:val="left" w:pos="5103"/>
        </w:tabs>
        <w:snapToGrid w:val="0"/>
        <w:spacing w:before="156" w:beforeLines="50"/>
        <w:rPr>
          <w:rFonts w:hint="default" w:eastAsia="宋体"/>
          <w:color w:val="auto"/>
          <w:sz w:val="21"/>
          <w:szCs w:val="21"/>
          <w:lang w:val="en-US" w:eastAsia="zh-CN"/>
        </w:rPr>
      </w:pPr>
      <w:r>
        <w:rPr>
          <w:rFonts w:hint="eastAsia" w:eastAsia="宋体"/>
          <w:color w:val="auto"/>
          <w:sz w:val="21"/>
          <w:szCs w:val="21"/>
          <w:lang w:val="en-US" w:eastAsia="zh-CN"/>
        </w:rPr>
        <w:t xml:space="preserve">So it is still pending about whether a note to clarify the relationship between </w:t>
      </w:r>
      <w:r>
        <w:rPr>
          <w:rFonts w:ascii="Times" w:hAnsi="Times" w:eastAsia="Batang"/>
          <w:bCs/>
          <w:kern w:val="0"/>
          <w:sz w:val="20"/>
          <w:szCs w:val="22"/>
          <w:highlight w:val="none"/>
          <w:lang w:val="en-GB" w:eastAsia="zh-CN"/>
        </w:rPr>
        <w:t>PCMax,f,c</w:t>
      </w:r>
      <w:r>
        <w:rPr>
          <w:rFonts w:hint="eastAsia" w:ascii="Times" w:hAnsi="Times" w:eastAsia="Batang"/>
          <w:bCs/>
          <w:kern w:val="0"/>
          <w:sz w:val="20"/>
          <w:szCs w:val="22"/>
          <w:highlight w:val="none"/>
          <w:lang w:val="en-US" w:eastAsia="zh-CN"/>
        </w:rPr>
        <w:t xml:space="preserve"> and P-MPR</w:t>
      </w:r>
      <w:r>
        <w:rPr>
          <w:rFonts w:hint="eastAsia" w:eastAsia="宋体"/>
          <w:color w:val="auto"/>
          <w:sz w:val="21"/>
          <w:szCs w:val="21"/>
          <w:lang w:val="en-US" w:eastAsia="zh-CN"/>
        </w:rPr>
        <w:t xml:space="preserve"> is necessary or not. In this document, we provide our analysis about this issue.</w:t>
      </w:r>
    </w:p>
    <w:p>
      <w:pPr>
        <w:pStyle w:val="3"/>
        <w:tabs>
          <w:tab w:val="left" w:pos="226"/>
          <w:tab w:val="left" w:pos="284"/>
          <w:tab w:val="left" w:pos="5103"/>
        </w:tabs>
        <w:snapToGrid w:val="0"/>
        <w:spacing w:before="156" w:beforeLines="50"/>
        <w:rPr>
          <w:rFonts w:hint="eastAsia" w:eastAsia="宋体"/>
          <w:color w:val="auto"/>
          <w:sz w:val="21"/>
          <w:szCs w:val="21"/>
          <w:lang w:val="en-US" w:eastAsia="zh-CN"/>
        </w:rPr>
      </w:pPr>
      <w:r>
        <w:rPr>
          <w:rFonts w:hint="eastAsia" w:eastAsia="宋体"/>
          <w:color w:val="auto"/>
          <w:sz w:val="21"/>
          <w:szCs w:val="21"/>
          <w:lang w:val="en-US" w:eastAsia="zh-CN"/>
        </w:rPr>
        <w:t>At the meanwhile, after the discussion during recent three RAN1 meetings, the details of MPE mitigation in RAN1 side have been determined, the following agreements have been approved in [2] [3] [4]: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pStyle w:val="27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-SA"/>
              </w:rPr>
              <w:t>During RAN1#105:</w:t>
            </w:r>
          </w:p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cs="Times"/>
                <w:i w:val="0"/>
                <w:iCs/>
                <w:szCs w:val="22"/>
                <w:shd w:val="pct10" w:color="auto" w:fill="FFFFFF"/>
                <w:lang w:val="en-US" w:eastAsia="ko-KR"/>
              </w:rPr>
            </w:pPr>
            <w:r>
              <w:rPr>
                <w:rFonts w:cs="Times"/>
                <w:i w:val="0"/>
                <w:iCs/>
                <w:szCs w:val="22"/>
                <w:highlight w:val="green"/>
                <w:shd w:val="pct10" w:color="auto" w:fill="FFFFFF"/>
              </w:rPr>
              <w:t>Agreement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200" w:leftChars="10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On Rel.17 enhancements to facilitate MPE mitigation, in RAN1#105-e, further discuss to down-select at least one or combine from the following options: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0"/>
                <w:numId w:val="5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540" w:leftChars="0"/>
              <w:contextualSpacing w:val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 xml:space="preserve">Opt 1A. {Rel.16 P-MPR based (beam/panel-level)} + Virtual PHR or a modified version 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1"/>
                <w:numId w:val="5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1260" w:leftChars="0"/>
              <w:contextualSpacing w:val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The modified version may be associated with each activated UL TCI or, if applicable, joint TCI, or associated with each of the reported SSBRI(s)/CRI(s) and/or panel indication (if configured) from candidate pool, if reported.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1"/>
                <w:numId w:val="5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1260" w:leftChars="0"/>
              <w:contextualSpacing w:val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The reporting reuses the event-driven mechanisms from the Rel-16 P-MPR reporting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1"/>
                <w:numId w:val="5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1260" w:leftChars="0"/>
              <w:contextualSpacing w:val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FFS: how to determine the virtual PHR or the modified version.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0"/>
                <w:numId w:val="5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540" w:leftChars="0"/>
              <w:contextualSpacing w:val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Opt 1D. {Rel.16 P-MPR based (beam/panel-level)}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1"/>
                <w:numId w:val="5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1260" w:leftChars="0"/>
              <w:contextualSpacing w:val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The reporting reuses the event-driven mechanisms from the Rel-16 P-MPR reporting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0"/>
                <w:numId w:val="5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540" w:leftChars="0"/>
              <w:contextualSpacing w:val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Opt 2A. {SSBRI(s)/CRI(s) and/or panel indication} + L1-RSRP [L1-SINR] or a modified version that accounts for MPE effect associated with each of the reported SSBRI(s)/CRI(s) and/or panel indication (if configured)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1"/>
                <w:numId w:val="6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1680" w:leftChars="840"/>
              <w:contextualSpacing w:val="0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FFS: How panel-level L1-RSRP [L1-SINR] is reported if L1-RSRP [L1-SINR] is associated with panel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1"/>
                <w:numId w:val="6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1680" w:leftChars="840"/>
              <w:contextualSpacing w:val="0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FFS: Whether/how to account for MPE effect in L1-RSRP [L1-SINR] report, e.g. by using scaled L1-RSRP [L1-SINR]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1"/>
                <w:numId w:val="5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1260" w:leftChars="0"/>
              <w:contextualSpacing w:val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FFS: Whether/how to enhance existing beam reporting format to support Option 2A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1"/>
                <w:numId w:val="5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1260" w:leftChars="0"/>
              <w:contextualSpacing w:val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FFS: When multiple SSBRIs/CRIs and their corresponding metrics are reported in the same reporting instance, whether to allow mixture between the SSBRI(s)/CRI(s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TW" w:bidi="ar-SA"/>
              </w:rPr>
              <w:t>)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 xml:space="preserve">) intended for MPE mitigation and for DL beam reporting 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1"/>
                <w:numId w:val="5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1260" w:leftChars="0"/>
              <w:contextualSpacing w:val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FFS: Whether the reporting is UE-initiated (event-driven) and/or NW-initiated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1"/>
                <w:numId w:val="5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1260" w:leftChars="0"/>
              <w:contextualSpacing w:val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FFS: If Opt2A is selected and there is no consensus on a modified L1-RSRP definition, at least the Rel-15 L1-RSRP definition is reused and virtual PHR may be added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600" w:leftChars="30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 xml:space="preserve">FFS: If gNB acknowledges MPE report from UE for UE-initiated (event-driven) reporting 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600" w:leftChars="30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FFS: If differential report is supported when multiple UL beams are reported in the same report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600" w:leftChars="300"/>
              <w:jc w:val="both"/>
              <w:textAlignment w:val="auto"/>
              <w:rPr>
                <w:rFonts w:hint="default" w:cs="Times"/>
                <w:i/>
                <w:iCs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  <w:p>
            <w:pPr>
              <w:pStyle w:val="27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-SA"/>
              </w:rPr>
              <w:t>During RAN1#106:</w:t>
            </w:r>
          </w:p>
          <w:p>
            <w:pPr>
              <w:pStyle w:val="27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firstLine="0" w:firstLineChars="0"/>
              <w:jc w:val="both"/>
              <w:textAlignment w:val="auto"/>
              <w:rPr>
                <w:rFonts w:ascii="Times New Roman" w:hAnsi="Times New Roman" w:eastAsia="Times New Roman" w:cs="Times"/>
                <w:i w:val="0"/>
                <w:iCs/>
                <w:kern w:val="0"/>
                <w:sz w:val="20"/>
                <w:szCs w:val="22"/>
                <w:highlight w:val="green"/>
                <w:shd w:val="pct10" w:color="auto" w:fill="FFFFFF"/>
                <w:lang w:val="en-US" w:eastAsia="en-US" w:bidi="ar-SA"/>
              </w:rPr>
            </w:pPr>
            <w:r>
              <w:rPr>
                <w:rFonts w:ascii="Times New Roman" w:hAnsi="Times New Roman" w:eastAsia="Times New Roman" w:cs="Times"/>
                <w:i w:val="0"/>
                <w:iCs/>
                <w:kern w:val="0"/>
                <w:sz w:val="20"/>
                <w:szCs w:val="22"/>
                <w:highlight w:val="green"/>
                <w:shd w:val="pct10" w:color="auto" w:fill="FFFFFF"/>
                <w:lang w:val="en-US" w:eastAsia="en-US" w:bidi="ar-SA"/>
              </w:rPr>
              <w:t>Agreement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Chars="10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On Rel.17 enhancements to facilitate MPE mitigation, support the following enhancement on the Rel-16 event-triggered P-MPR-based reporting (included in the PHR report when a threshold is reached, reported via MAC-CE):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0"/>
                <w:numId w:val="7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Chars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 xml:space="preserve">In addition to the existing field in the PHR MAC-CE, N≥1 P-MPR values can be reported 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1"/>
                <w:numId w:val="7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Chars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The N P-MPR values are reported together with the following: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2"/>
                <w:numId w:val="7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Chars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(Working Assumption) For each P-MPR value, up to M SSBRI(s)/CRI(s), where the SSBRI(s)/CRI(s) is selected by the UE from a candidate SSB/CSI-RS resource pool (FFS: how to perform the selection)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3"/>
                <w:numId w:val="7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Chars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FFS: The supported value(s) of M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0"/>
                <w:numId w:val="7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Chars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FFS: Whether N represents the number of selected beams or the number of panels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0"/>
                <w:numId w:val="7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Chars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FFS: Supported values of N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0"/>
                <w:numId w:val="7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Chars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 xml:space="preserve">FFS: Whether beam-specific and/or panel-specific PHR is also reported 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0"/>
                <w:numId w:val="7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Chars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FFS: Additional reporting quantities, e.g. SSBRI/CRI, MPR+DL RSRP, or modified virtual PHR</w:t>
            </w:r>
          </w:p>
          <w:p>
            <w:pPr>
              <w:pStyle w:val="27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FFS: additional signaling (e.g. CSI triggering) from the NW</w:t>
            </w:r>
          </w:p>
          <w:p>
            <w:pPr>
              <w:pStyle w:val="27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firstLine="0" w:firstLineChars="0"/>
              <w:jc w:val="both"/>
              <w:textAlignment w:val="auto"/>
              <w:rPr>
                <w:rFonts w:hint="eastAsia"/>
                <w:i/>
                <w:iCs/>
                <w:sz w:val="18"/>
                <w:szCs w:val="18"/>
                <w:lang w:val="en-US" w:eastAsia="zh-CN"/>
              </w:rPr>
            </w:pPr>
          </w:p>
          <w:p>
            <w:pPr>
              <w:pStyle w:val="27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-SA"/>
              </w:rPr>
              <w:t>During RAN1#106bis:</w:t>
            </w:r>
          </w:p>
          <w:p>
            <w:pPr>
              <w:pStyle w:val="27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firstLine="0" w:firstLineChars="0"/>
              <w:jc w:val="both"/>
              <w:textAlignment w:val="auto"/>
              <w:rPr>
                <w:rFonts w:ascii="Times New Roman" w:hAnsi="Times New Roman" w:eastAsia="Times New Roman" w:cs="Times"/>
                <w:i w:val="0"/>
                <w:iCs/>
                <w:kern w:val="0"/>
                <w:sz w:val="20"/>
                <w:szCs w:val="22"/>
                <w:highlight w:val="green"/>
                <w:shd w:val="pct10" w:color="auto" w:fill="FFFFFF"/>
                <w:lang w:val="en-US" w:eastAsia="en-US" w:bidi="ar-SA"/>
              </w:rPr>
            </w:pPr>
            <w:r>
              <w:rPr>
                <w:rFonts w:ascii="Times New Roman" w:hAnsi="Times New Roman" w:eastAsia="Times New Roman" w:cs="Times"/>
                <w:i w:val="0"/>
                <w:iCs/>
                <w:kern w:val="0"/>
                <w:sz w:val="20"/>
                <w:szCs w:val="22"/>
                <w:highlight w:val="green"/>
                <w:shd w:val="pct10" w:color="auto" w:fill="FFFFFF"/>
                <w:lang w:val="en-US" w:eastAsia="en-US" w:bidi="ar-SA"/>
              </w:rPr>
              <w:t>Agreement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Chars="100"/>
              <w:jc w:val="both"/>
              <w:textAlignment w:val="auto"/>
              <w:rPr>
                <w:rFonts w:cs="Times"/>
                <w:lang w:eastAsia="zh-CN"/>
              </w:rPr>
            </w:pPr>
            <w:r>
              <w:rPr>
                <w:rFonts w:cs="Times"/>
                <w:lang w:eastAsia="zh-CN"/>
              </w:rPr>
              <w:t>On Rel.17 enhancements to facilitate MPE mitigation, support N=1, 2, 3, and 4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8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eastAsia="Times New Roman" w:cs="Times"/>
                <w:lang w:eastAsia="zh-CN"/>
              </w:rPr>
            </w:pPr>
            <w:r>
              <w:rPr>
                <w:rFonts w:eastAsia="Times New Roman" w:cs="Times"/>
                <w:lang w:eastAsia="zh-CN"/>
              </w:rPr>
              <w:t>N is defined as the number of reported measurements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8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eastAsia="Times New Roman" w:cs="Times"/>
                <w:lang w:eastAsia="zh-CN"/>
              </w:rPr>
            </w:pPr>
            <w:r>
              <w:rPr>
                <w:rFonts w:eastAsia="Times New Roman" w:cs="Times"/>
                <w:lang w:eastAsia="zh-CN"/>
              </w:rPr>
              <w:t>UE reports supported largest N value as a UE capability</w:t>
            </w:r>
          </w:p>
          <w:p>
            <w:pPr>
              <w:pStyle w:val="27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firstLine="0" w:firstLineChars="0"/>
              <w:jc w:val="both"/>
              <w:textAlignment w:val="auto"/>
              <w:rPr>
                <w:rFonts w:ascii="Times New Roman" w:hAnsi="Times New Roman" w:eastAsia="Times New Roman" w:cs="Times"/>
                <w:i w:val="0"/>
                <w:iCs/>
                <w:kern w:val="0"/>
                <w:sz w:val="20"/>
                <w:szCs w:val="22"/>
                <w:highlight w:val="green"/>
                <w:shd w:val="pct10" w:color="auto" w:fill="FFFFFF"/>
                <w:lang w:val="en-US" w:eastAsia="en-US" w:bidi="ar-SA"/>
              </w:rPr>
            </w:pPr>
            <w:r>
              <w:rPr>
                <w:rFonts w:ascii="Times New Roman" w:hAnsi="Times New Roman" w:eastAsia="Times New Roman" w:cs="Times"/>
                <w:i w:val="0"/>
                <w:iCs/>
                <w:kern w:val="0"/>
                <w:sz w:val="20"/>
                <w:szCs w:val="22"/>
                <w:highlight w:val="green"/>
                <w:shd w:val="pct10" w:color="auto" w:fill="FFFFFF"/>
                <w:lang w:val="en-US" w:eastAsia="en-US" w:bidi="ar-SA"/>
              </w:rPr>
              <w:t>Agreement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Chars="100"/>
              <w:textAlignment w:val="auto"/>
              <w:rPr>
                <w:rFonts w:ascii="Calibri" w:hAnsi="Calibri" w:cs="Calibri"/>
                <w:color w:val="1F497D"/>
                <w:szCs w:val="20"/>
              </w:rPr>
            </w:pPr>
            <w:r>
              <w:rPr>
                <w:szCs w:val="20"/>
                <w:lang w:eastAsia="zh-CN"/>
              </w:rPr>
              <w:t xml:space="preserve">On Rel.17 enhancements to facilitate MPE mitigation, confirm the following working assumption (in the midst of the previous agreement) as an agreement with the following refinement (highlighted in </w:t>
            </w:r>
            <w:r>
              <w:rPr>
                <w:color w:val="FF0000"/>
                <w:szCs w:val="20"/>
                <w:lang w:eastAsia="zh-CN"/>
              </w:rPr>
              <w:t>red</w:t>
            </w:r>
            <w:r>
              <w:rPr>
                <w:szCs w:val="20"/>
                <w:lang w:eastAsia="zh-CN"/>
              </w:rPr>
              <w:t>):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Chars="200"/>
              <w:textAlignment w:val="auto"/>
              <w:rPr>
                <w:szCs w:val="20"/>
              </w:rPr>
            </w:pPr>
            <w:r>
              <w:rPr>
                <w:szCs w:val="20"/>
              </w:rPr>
              <w:t>On Rel.17 enhancements to facilitate MPE mitigation, support the following enhancement on the Rel-16 event-triggered P-MPR-based reporting (included in the PHR report when a threshold is reached, reported via MAC-CE):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7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 xml:space="preserve">In addition to the existing field in the PHR MAC-CE, N≥1 P-MPR values can be reported </w:t>
            </w:r>
          </w:p>
          <w:p>
            <w:pPr>
              <w:keepNext w:val="0"/>
              <w:keepLines w:val="0"/>
              <w:pageBreakBefore w:val="0"/>
              <w:numPr>
                <w:ilvl w:val="1"/>
                <w:numId w:val="7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 xml:space="preserve">The N P-MPR values are reported together with the following: </w:t>
            </w:r>
          </w:p>
          <w:p>
            <w:pPr>
              <w:keepNext w:val="0"/>
              <w:keepLines w:val="0"/>
              <w:pageBreakBefore w:val="0"/>
              <w:numPr>
                <w:ilvl w:val="2"/>
                <w:numId w:val="7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trike/>
                <w:color w:val="FF0000"/>
                <w:szCs w:val="20"/>
              </w:rPr>
              <w:t>(Working Assumption)</w:t>
            </w:r>
            <w:r>
              <w:rPr>
                <w:rFonts w:eastAsia="Times New Roman"/>
                <w:szCs w:val="20"/>
              </w:rPr>
              <w:t xml:space="preserve"> For each P-MPR value, up to M SSBRI(s)/CRI(s), where the SSBRI(s)/CRI(s) is selected by the UE from a candidate SSB/CSI-RS resource pool (FFS: how to perform the selection) </w:t>
            </w:r>
          </w:p>
          <w:p>
            <w:pPr>
              <w:keepNext w:val="0"/>
              <w:keepLines w:val="0"/>
              <w:pageBreakBefore w:val="0"/>
              <w:numPr>
                <w:ilvl w:val="3"/>
                <w:numId w:val="7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Times New Roman"/>
                <w:color w:val="FF0000"/>
                <w:szCs w:val="20"/>
              </w:rPr>
            </w:pPr>
            <w:r>
              <w:rPr>
                <w:rFonts w:eastAsia="Times New Roman"/>
                <w:color w:val="FF0000"/>
                <w:szCs w:val="20"/>
              </w:rPr>
              <w:t>Support M=1</w:t>
            </w:r>
          </w:p>
          <w:p>
            <w:pPr>
              <w:keepNext w:val="0"/>
              <w:keepLines w:val="0"/>
              <w:pageBreakBefore w:val="0"/>
              <w:numPr>
                <w:ilvl w:val="3"/>
                <w:numId w:val="7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Times New Roman"/>
                <w:strike/>
                <w:color w:val="FF0000"/>
                <w:szCs w:val="20"/>
              </w:rPr>
            </w:pPr>
            <w:r>
              <w:rPr>
                <w:rFonts w:eastAsia="Times New Roman"/>
                <w:strike/>
                <w:color w:val="FF0000"/>
                <w:szCs w:val="20"/>
              </w:rPr>
              <w:t>FFS: The supported value(s) of M</w:t>
            </w:r>
            <w:r>
              <w:rPr>
                <w:rFonts w:eastAsia="Times New Roman"/>
                <w:iCs/>
                <w:strike/>
                <w:color w:val="FF0000"/>
                <w:szCs w:val="20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7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Times New Roman"/>
                <w:strike/>
                <w:color w:val="FF0000"/>
                <w:szCs w:val="20"/>
              </w:rPr>
            </w:pPr>
            <w:r>
              <w:rPr>
                <w:rFonts w:eastAsia="Times New Roman"/>
                <w:strike/>
                <w:color w:val="FF0000"/>
                <w:szCs w:val="20"/>
              </w:rPr>
              <w:t>FFS: Additional reporting quantities, e.g. SSBRI/CRI, MPR+DL RSRP, or modified virtual PHR</w:t>
            </w:r>
          </w:p>
          <w:p>
            <w:pPr>
              <w:pStyle w:val="3"/>
              <w:keepNext w:val="0"/>
              <w:keepLines w:val="0"/>
              <w:pageBreakBefore w:val="0"/>
              <w:tabs>
                <w:tab w:val="left" w:pos="226"/>
                <w:tab w:val="left" w:pos="284"/>
                <w:tab w:val="left" w:pos="5103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eastAsia" w:eastAsia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eastAsia="Times New Roman"/>
                <w:strike/>
                <w:color w:val="FF0000"/>
                <w:szCs w:val="20"/>
              </w:rPr>
              <w:t>FFS: additional signaling (e.g. CSI triggering) from the NW</w:t>
            </w:r>
          </w:p>
        </w:tc>
      </w:tr>
    </w:tbl>
    <w:p>
      <w:pPr>
        <w:pStyle w:val="3"/>
        <w:tabs>
          <w:tab w:val="left" w:pos="226"/>
          <w:tab w:val="left" w:pos="284"/>
          <w:tab w:val="left" w:pos="5103"/>
        </w:tabs>
        <w:snapToGrid w:val="0"/>
        <w:spacing w:before="156" w:beforeLines="50"/>
        <w:rPr>
          <w:rFonts w:hint="default" w:eastAsia="宋体"/>
          <w:color w:val="auto"/>
          <w:sz w:val="21"/>
          <w:szCs w:val="21"/>
          <w:lang w:val="en-US" w:eastAsia="zh-CN"/>
        </w:rPr>
      </w:pPr>
      <w:r>
        <w:rPr>
          <w:rFonts w:hint="eastAsia" w:eastAsia="宋体"/>
          <w:color w:val="auto"/>
          <w:sz w:val="21"/>
          <w:szCs w:val="21"/>
          <w:lang w:val="en-US" w:eastAsia="zh-CN"/>
        </w:rPr>
        <w:t>Based on the conclusions both in RAN4 meetings and RAN1 meetings, we provide our further analysis on the RAN4 impact of the MPE mitigation considering the RAN1 progress.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Discussion</w:t>
      </w:r>
    </w:p>
    <w:p>
      <w:pPr>
        <w:pStyle w:val="3"/>
        <w:tabs>
          <w:tab w:val="left" w:pos="226"/>
          <w:tab w:val="left" w:pos="284"/>
          <w:tab w:val="left" w:pos="5103"/>
        </w:tabs>
        <w:snapToGrid w:val="0"/>
        <w:spacing w:before="156" w:beforeLines="50"/>
        <w:rPr>
          <w:rFonts w:hint="eastAsia" w:eastAsia="宋体"/>
          <w:color w:val="auto"/>
          <w:sz w:val="21"/>
          <w:szCs w:val="21"/>
          <w:lang w:val="en-US" w:eastAsia="zh-CN"/>
        </w:rPr>
      </w:pPr>
      <w:bookmarkStart w:id="2" w:name="OLE_LINK1"/>
      <w:r>
        <w:rPr>
          <w:rFonts w:hint="eastAsia" w:eastAsia="宋体"/>
          <w:color w:val="auto"/>
          <w:sz w:val="21"/>
          <w:szCs w:val="21"/>
          <w:lang w:val="en-US" w:eastAsia="zh-CN"/>
        </w:rPr>
        <w:t>During RAN4#102 meeting, a main reason of without any conclusion approved about whether a note to clarify the relationship between PCMax,f,c and P-MPR is necessary or not, is RAN4 needs to wait for RAN1</w:t>
      </w:r>
      <w:r>
        <w:rPr>
          <w:rFonts w:hint="default" w:eastAsia="宋体"/>
          <w:color w:val="auto"/>
          <w:sz w:val="21"/>
          <w:szCs w:val="21"/>
          <w:lang w:val="en-US" w:eastAsia="zh-CN"/>
        </w:rPr>
        <w:t>’</w:t>
      </w:r>
      <w:r>
        <w:rPr>
          <w:rFonts w:hint="eastAsia" w:eastAsia="宋体"/>
          <w:color w:val="auto"/>
          <w:sz w:val="21"/>
          <w:szCs w:val="21"/>
          <w:lang w:val="en-US" w:eastAsia="zh-CN"/>
        </w:rPr>
        <w:t>s LS reply to RAN2 about this issue.</w:t>
      </w:r>
    </w:p>
    <w:p>
      <w:pPr>
        <w:pStyle w:val="3"/>
        <w:tabs>
          <w:tab w:val="left" w:pos="226"/>
          <w:tab w:val="left" w:pos="284"/>
          <w:tab w:val="left" w:pos="5103"/>
        </w:tabs>
        <w:snapToGrid w:val="0"/>
        <w:spacing w:before="156" w:beforeLines="50"/>
        <w:rPr>
          <w:rFonts w:hint="eastAsia" w:eastAsia="宋体"/>
          <w:color w:val="auto"/>
          <w:sz w:val="21"/>
          <w:szCs w:val="21"/>
          <w:lang w:val="en-US" w:eastAsia="zh-CN"/>
        </w:rPr>
      </w:pPr>
      <w:r>
        <w:rPr>
          <w:rFonts w:hint="eastAsia" w:eastAsia="宋体"/>
          <w:color w:val="auto"/>
          <w:sz w:val="21"/>
          <w:szCs w:val="21"/>
          <w:lang w:val="en-US" w:eastAsia="zh-CN"/>
        </w:rPr>
        <w:t>During RAN1#108 meeting, RAN1 has approved the LS reply[5]. About this issue, RAN1</w:t>
      </w:r>
      <w:r>
        <w:rPr>
          <w:rFonts w:hint="default" w:eastAsia="宋体"/>
          <w:color w:val="auto"/>
          <w:sz w:val="21"/>
          <w:szCs w:val="21"/>
          <w:lang w:val="en-US" w:eastAsia="zh-CN"/>
        </w:rPr>
        <w:t>’</w:t>
      </w:r>
      <w:r>
        <w:rPr>
          <w:rFonts w:hint="eastAsia" w:eastAsia="宋体"/>
          <w:color w:val="auto"/>
          <w:sz w:val="21"/>
          <w:szCs w:val="21"/>
          <w:lang w:val="en-US" w:eastAsia="zh-CN"/>
        </w:rPr>
        <w:t>s reply is as follows: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rPr>
                <w:b/>
                <w:bCs/>
                <w:highlight w:val="green"/>
                <w:lang w:eastAsia="zh-CN"/>
              </w:rPr>
            </w:pPr>
            <w:r>
              <w:rPr>
                <w:b/>
                <w:bCs/>
                <w:highlight w:val="green"/>
                <w:lang w:eastAsia="zh-CN"/>
              </w:rPr>
              <w:t>Agreement</w:t>
            </w:r>
          </w:p>
          <w:p>
            <w:pPr>
              <w:numPr>
                <w:ilvl w:val="0"/>
                <w:numId w:val="9"/>
              </w:numPr>
              <w:suppressAutoHyphens/>
              <w:autoSpaceDN w:val="0"/>
              <w:snapToGrid w:val="0"/>
              <w:textAlignment w:val="baseline"/>
            </w:pPr>
            <w:r>
              <w:t xml:space="preserve">(RAN2 Question) Q1.8: Does the enhanced MPE reporting applies also to mTRP operation, and, if it does, will this be configured by </w:t>
            </w:r>
            <w:r>
              <w:rPr>
                <w:i/>
                <w:iCs/>
              </w:rPr>
              <w:t>mpe-Reporting-FR2</w:t>
            </w:r>
            <w:r>
              <w:t xml:space="preserve"> or is another RRC configuration needed?</w:t>
            </w:r>
          </w:p>
          <w:p>
            <w:pPr>
              <w:suppressAutoHyphens/>
              <w:autoSpaceDN w:val="0"/>
              <w:snapToGrid w:val="0"/>
              <w:textAlignment w:val="baseline"/>
              <w:rPr>
                <w:sz w:val="22"/>
                <w:szCs w:val="22"/>
              </w:rPr>
            </w:pPr>
          </w:p>
          <w:p>
            <w:pPr>
              <w:numPr>
                <w:ilvl w:val="1"/>
                <w:numId w:val="9"/>
              </w:numPr>
              <w:snapToGrid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RAN1 response: Note that enhanced MPE reporting and the multi-TRP PHR enhancement are two different features in Rel-17. From RAN1 perspective, there is no consensus that enhanced MPE reporting can be combined with the multi-TRP PHR specified in Rel-17. Furthermore, RAN1 does not plan to specify any additional specification enhancement for the combination of these two features.</w:t>
            </w:r>
          </w:p>
          <w:p>
            <w:pPr>
              <w:snapToGrid w:val="0"/>
              <w:ind w:left="1200"/>
              <w:rPr>
                <w:bCs/>
                <w:lang w:eastAsia="zh-CN"/>
              </w:rPr>
            </w:pPr>
          </w:p>
          <w:p>
            <w:pPr>
              <w:numPr>
                <w:ilvl w:val="0"/>
                <w:numId w:val="9"/>
              </w:numPr>
              <w:suppressAutoHyphens/>
              <w:autoSpaceDN w:val="0"/>
              <w:snapToGrid w:val="0"/>
              <w:textAlignment w:val="baseline"/>
              <w:rPr>
                <w:szCs w:val="22"/>
              </w:rPr>
            </w:pPr>
            <w:r>
              <w:t xml:space="preserve">(RAN2 Question) </w:t>
            </w:r>
            <w:r>
              <w:rPr>
                <w:szCs w:val="22"/>
              </w:rPr>
              <w:t>Q1.10: Is reporting of PCMax,f,c needed for MPE information and if it is, should it be included per indicated SSBRI/CRI value or is it cell-specific?</w:t>
            </w:r>
          </w:p>
          <w:p>
            <w:pPr>
              <w:numPr>
                <w:ilvl w:val="1"/>
                <w:numId w:val="9"/>
              </w:numPr>
              <w:suppressAutoHyphens/>
              <w:autoSpaceDN w:val="0"/>
              <w:snapToGrid w:val="0"/>
              <w:textAlignment w:val="baseline"/>
              <w:rPr>
                <w:rFonts w:hint="eastAsia" w:eastAsia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bCs/>
                <w:lang w:eastAsia="zh-CN"/>
              </w:rPr>
              <w:t>RAN1 response:</w:t>
            </w:r>
            <w:r>
              <w:rPr>
                <w:rFonts w:eastAsia="Malgun Gothic"/>
                <w:szCs w:val="22"/>
              </w:rPr>
              <w:t xml:space="preserve"> </w:t>
            </w:r>
            <w:r>
              <w:rPr>
                <w:bCs/>
                <w:szCs w:val="22"/>
                <w:lang w:eastAsia="zh-CN"/>
              </w:rPr>
              <w:t>The enhanced MPE reporting doesn't impact the reporting of PCMax,f,c, which should remain as in legacy, i.e. reported per cell</w:t>
            </w:r>
          </w:p>
        </w:tc>
      </w:tr>
    </w:tbl>
    <w:p>
      <w:pPr>
        <w:pStyle w:val="3"/>
        <w:tabs>
          <w:tab w:val="left" w:pos="226"/>
          <w:tab w:val="left" w:pos="284"/>
          <w:tab w:val="left" w:pos="5103"/>
        </w:tabs>
        <w:snapToGrid w:val="0"/>
        <w:spacing w:before="156" w:beforeLines="50"/>
        <w:rPr>
          <w:rFonts w:hint="default" w:eastAsia="宋体" w:cs="Times New Roman"/>
          <w:b/>
          <w:bCs/>
          <w:color w:val="auto"/>
          <w:sz w:val="21"/>
          <w:szCs w:val="21"/>
          <w:highlight w:val="none"/>
          <w:lang w:val="en-US" w:eastAsia="zh-CN" w:bidi="ar-SA"/>
        </w:rPr>
      </w:pPr>
      <w:r>
        <w:rPr>
          <w:rFonts w:hint="eastAsia" w:eastAsia="宋体"/>
          <w:color w:val="auto"/>
          <w:sz w:val="21"/>
          <w:szCs w:val="21"/>
          <w:lang w:val="en-US" w:eastAsia="zh-CN"/>
        </w:rPr>
        <w:t>Based on RAN1</w:t>
      </w:r>
      <w:r>
        <w:rPr>
          <w:rFonts w:hint="default" w:eastAsia="宋体"/>
          <w:color w:val="auto"/>
          <w:sz w:val="21"/>
          <w:szCs w:val="21"/>
          <w:lang w:val="en-US" w:eastAsia="zh-CN"/>
        </w:rPr>
        <w:t>’</w:t>
      </w:r>
      <w:r>
        <w:rPr>
          <w:rFonts w:hint="eastAsia" w:eastAsia="宋体"/>
          <w:color w:val="auto"/>
          <w:sz w:val="21"/>
          <w:szCs w:val="21"/>
          <w:lang w:val="en-US" w:eastAsia="zh-CN"/>
        </w:rPr>
        <w:t xml:space="preserve">s agreement, there is not any enhancement on </w:t>
      </w:r>
      <w:r>
        <w:rPr>
          <w:szCs w:val="22"/>
        </w:rPr>
        <w:t>PCMax,f,c</w:t>
      </w:r>
      <w:r>
        <w:rPr>
          <w:rFonts w:hint="eastAsia" w:eastAsia="宋体"/>
          <w:szCs w:val="22"/>
          <w:lang w:val="en-US" w:eastAsia="zh-CN"/>
        </w:rPr>
        <w:t xml:space="preserve"> </w:t>
      </w:r>
      <w:r>
        <w:rPr>
          <w:rFonts w:hint="eastAsia" w:eastAsia="宋体"/>
          <w:color w:val="auto"/>
          <w:sz w:val="21"/>
          <w:szCs w:val="21"/>
          <w:lang w:val="en-US" w:eastAsia="zh-CN"/>
        </w:rPr>
        <w:t xml:space="preserve">reporting, so which should remain as in legacy, i.e. per cell report. No matter whether UE support the per-beam/panel P-MPR reporting or not(depend on UE capability), the </w:t>
      </w:r>
      <w:r>
        <w:rPr>
          <w:szCs w:val="22"/>
        </w:rPr>
        <w:t>PCMax,f,c</w:t>
      </w:r>
      <w:r>
        <w:rPr>
          <w:rFonts w:hint="eastAsia" w:eastAsia="宋体"/>
          <w:szCs w:val="22"/>
          <w:lang w:val="en-US" w:eastAsia="zh-CN"/>
        </w:rPr>
        <w:t xml:space="preserve"> </w:t>
      </w:r>
      <w:r>
        <w:rPr>
          <w:rFonts w:hint="eastAsia" w:eastAsia="宋体"/>
          <w:color w:val="auto"/>
          <w:sz w:val="21"/>
          <w:szCs w:val="21"/>
          <w:lang w:val="en-US" w:eastAsia="zh-CN"/>
        </w:rPr>
        <w:t xml:space="preserve">reporting should not be impacted, which is aligned with in legacy, only one </w:t>
      </w:r>
      <w:r>
        <w:rPr>
          <w:szCs w:val="22"/>
        </w:rPr>
        <w:t>PCMax,f,c</w:t>
      </w:r>
      <w:r>
        <w:rPr>
          <w:rFonts w:hint="eastAsia" w:eastAsia="宋体"/>
          <w:szCs w:val="22"/>
          <w:lang w:val="en-US" w:eastAsia="zh-CN"/>
        </w:rPr>
        <w:t xml:space="preserve"> </w:t>
      </w:r>
      <w:r>
        <w:rPr>
          <w:rFonts w:hint="eastAsia" w:eastAsia="宋体"/>
          <w:color w:val="auto"/>
          <w:sz w:val="21"/>
          <w:szCs w:val="21"/>
          <w:lang w:val="en-US" w:eastAsia="zh-CN"/>
        </w:rPr>
        <w:t xml:space="preserve">would be reported, how to obtain this </w:t>
      </w:r>
      <w:r>
        <w:rPr>
          <w:szCs w:val="22"/>
        </w:rPr>
        <w:t>PCMax,f,c</w:t>
      </w:r>
      <w:r>
        <w:rPr>
          <w:rFonts w:hint="eastAsia" w:eastAsia="宋体"/>
          <w:color w:val="auto"/>
          <w:sz w:val="21"/>
          <w:szCs w:val="21"/>
          <w:lang w:val="en-US" w:eastAsia="zh-CN"/>
        </w:rPr>
        <w:t xml:space="preserve">, it is up to UE implementation. So, we believe it is not necessary to add any additional note about </w:t>
      </w:r>
      <w:r>
        <w:rPr>
          <w:szCs w:val="22"/>
        </w:rPr>
        <w:t>PCMax,f,c</w:t>
      </w:r>
      <w:r>
        <w:rPr>
          <w:rFonts w:hint="eastAsia" w:eastAsia="宋体"/>
          <w:szCs w:val="22"/>
          <w:lang w:val="en-US" w:eastAsia="zh-CN"/>
        </w:rPr>
        <w:t xml:space="preserve"> </w:t>
      </w:r>
      <w:r>
        <w:rPr>
          <w:rFonts w:hint="eastAsia" w:eastAsia="宋体"/>
          <w:color w:val="auto"/>
          <w:sz w:val="21"/>
          <w:szCs w:val="21"/>
          <w:lang w:val="en-US" w:eastAsia="zh-CN"/>
        </w:rPr>
        <w:t>reporting, since not any enhancement introduced.</w:t>
      </w:r>
    </w:p>
    <w:p>
      <w:pPr>
        <w:pStyle w:val="3"/>
        <w:jc w:val="both"/>
        <w:rPr>
          <w:rFonts w:hint="default" w:eastAsia="宋体" w:cs="Times New Roman"/>
          <w:b/>
          <w:bCs/>
          <w:color w:val="auto"/>
          <w:sz w:val="21"/>
          <w:szCs w:val="21"/>
          <w:highlight w:val="none"/>
          <w:lang w:val="en-US" w:eastAsia="zh-CN" w:bidi="ar-SA"/>
        </w:rPr>
      </w:pPr>
      <w:r>
        <w:rPr>
          <w:rFonts w:hint="eastAsia" w:eastAsia="宋体" w:cs="Times New Roman"/>
          <w:b/>
          <w:bCs/>
          <w:color w:val="auto"/>
          <w:sz w:val="21"/>
          <w:szCs w:val="21"/>
          <w:highlight w:val="none"/>
          <w:lang w:val="en-US" w:eastAsia="zh-CN" w:bidi="ar-SA"/>
        </w:rPr>
        <w:t xml:space="preserve">Proposal 1: </w:t>
      </w:r>
      <w:bookmarkEnd w:id="2"/>
      <w:r>
        <w:rPr>
          <w:rFonts w:hint="eastAsia" w:eastAsia="宋体" w:cs="Times New Roman"/>
          <w:b/>
          <w:bCs/>
          <w:color w:val="auto"/>
          <w:sz w:val="21"/>
          <w:szCs w:val="21"/>
          <w:highlight w:val="none"/>
          <w:lang w:val="en-US" w:eastAsia="zh-CN" w:bidi="ar-SA"/>
        </w:rPr>
        <w:t>Based on RAN1</w:t>
      </w:r>
      <w:r>
        <w:rPr>
          <w:rFonts w:hint="default" w:eastAsia="宋体" w:cs="Times New Roman"/>
          <w:b/>
          <w:bCs/>
          <w:color w:val="auto"/>
          <w:sz w:val="21"/>
          <w:szCs w:val="21"/>
          <w:highlight w:val="none"/>
          <w:lang w:val="en-US" w:eastAsia="zh-CN" w:bidi="ar-SA"/>
        </w:rPr>
        <w:t>’</w:t>
      </w:r>
      <w:r>
        <w:rPr>
          <w:rFonts w:hint="eastAsia" w:eastAsia="宋体" w:cs="Times New Roman"/>
          <w:b/>
          <w:bCs/>
          <w:color w:val="auto"/>
          <w:sz w:val="21"/>
          <w:szCs w:val="21"/>
          <w:highlight w:val="none"/>
          <w:lang w:val="en-US" w:eastAsia="zh-CN" w:bidi="ar-SA"/>
        </w:rPr>
        <w:t>s LS reply approved in RAN1#108 meeting, not any requirement enhancement or additional relation clarification is needed between Pcmax and P-MPR.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color w:val="auto"/>
          <w:lang w:val="en-US" w:eastAsia="zh-CN"/>
        </w:rPr>
      </w:pPr>
      <w:r>
        <w:rPr>
          <w:rFonts w:eastAsia="宋体"/>
          <w:color w:val="auto"/>
          <w:lang w:val="en-US" w:eastAsia="zh-CN"/>
        </w:rPr>
        <w:t>Conclusion</w:t>
      </w:r>
    </w:p>
    <w:p>
      <w:pPr>
        <w:pStyle w:val="3"/>
        <w:tabs>
          <w:tab w:val="left" w:pos="226"/>
          <w:tab w:val="left" w:pos="284"/>
          <w:tab w:val="left" w:pos="5103"/>
        </w:tabs>
        <w:snapToGrid w:val="0"/>
        <w:rPr>
          <w:rFonts w:eastAsia="宋体"/>
          <w:bCs/>
          <w:color w:val="auto"/>
          <w:sz w:val="21"/>
          <w:szCs w:val="21"/>
          <w:lang w:val="en-GB" w:eastAsia="zh-CN"/>
        </w:rPr>
      </w:pPr>
      <w:r>
        <w:rPr>
          <w:rFonts w:eastAsia="宋体"/>
          <w:bCs/>
          <w:color w:val="auto"/>
          <w:sz w:val="21"/>
          <w:szCs w:val="21"/>
          <w:lang w:val="en-GB" w:eastAsia="zh-CN"/>
        </w:rPr>
        <w:t xml:space="preserve">In this </w:t>
      </w:r>
      <w:r>
        <w:rPr>
          <w:rFonts w:hint="eastAsia" w:eastAsia="宋体"/>
          <w:bCs/>
          <w:color w:val="auto"/>
          <w:sz w:val="21"/>
          <w:szCs w:val="21"/>
          <w:lang w:val="en-US" w:eastAsia="zh-CN"/>
        </w:rPr>
        <w:t>contribution</w:t>
      </w:r>
      <w:r>
        <w:rPr>
          <w:rFonts w:eastAsia="宋体"/>
          <w:bCs/>
          <w:color w:val="auto"/>
          <w:sz w:val="21"/>
          <w:szCs w:val="21"/>
          <w:lang w:val="en-GB" w:eastAsia="zh-CN"/>
        </w:rPr>
        <w:t>, we have the following</w:t>
      </w:r>
      <w:r>
        <w:rPr>
          <w:rFonts w:hint="eastAsia" w:eastAsia="宋体"/>
          <w:bCs/>
          <w:color w:val="auto"/>
          <w:sz w:val="21"/>
          <w:szCs w:val="21"/>
          <w:lang w:val="en-US" w:eastAsia="zh-CN"/>
        </w:rPr>
        <w:t xml:space="preserve"> proposals </w:t>
      </w:r>
      <w:r>
        <w:rPr>
          <w:rFonts w:eastAsia="宋体"/>
          <w:bCs/>
          <w:color w:val="auto"/>
          <w:sz w:val="21"/>
          <w:szCs w:val="21"/>
          <w:lang w:val="en-GB" w:eastAsia="zh-CN"/>
        </w:rPr>
        <w:t xml:space="preserve">for </w:t>
      </w:r>
      <w:r>
        <w:rPr>
          <w:rFonts w:hint="eastAsia" w:eastAsia="宋体"/>
          <w:bCs/>
          <w:color w:val="auto"/>
          <w:sz w:val="21"/>
          <w:szCs w:val="21"/>
          <w:lang w:val="en-US" w:eastAsia="zh-CN"/>
        </w:rPr>
        <w:t>the enhancement of MPE mitigation</w:t>
      </w:r>
      <w:r>
        <w:rPr>
          <w:rFonts w:eastAsia="宋体"/>
          <w:bCs/>
          <w:color w:val="auto"/>
          <w:sz w:val="21"/>
          <w:szCs w:val="21"/>
          <w:lang w:val="en-GB" w:eastAsia="zh-CN"/>
        </w:rPr>
        <w:t>:</w:t>
      </w:r>
    </w:p>
    <w:p>
      <w:pPr>
        <w:pStyle w:val="3"/>
        <w:jc w:val="both"/>
        <w:rPr>
          <w:rFonts w:hint="default" w:eastAsia="宋体" w:cs="Times New Roman"/>
          <w:b/>
          <w:bCs/>
          <w:color w:val="auto"/>
          <w:sz w:val="21"/>
          <w:szCs w:val="21"/>
          <w:highlight w:val="none"/>
          <w:lang w:val="en-US" w:eastAsia="zh-CN" w:bidi="ar-SA"/>
        </w:rPr>
      </w:pPr>
      <w:r>
        <w:rPr>
          <w:rFonts w:hint="eastAsia" w:eastAsia="宋体" w:cs="Times New Roman"/>
          <w:b/>
          <w:bCs/>
          <w:color w:val="auto"/>
          <w:sz w:val="21"/>
          <w:szCs w:val="21"/>
          <w:highlight w:val="none"/>
          <w:lang w:val="en-US" w:eastAsia="zh-CN" w:bidi="ar-SA"/>
        </w:rPr>
        <w:t>Proposal 1: Based on RAN1</w:t>
      </w:r>
      <w:r>
        <w:rPr>
          <w:rFonts w:hint="default" w:eastAsia="宋体" w:cs="Times New Roman"/>
          <w:b/>
          <w:bCs/>
          <w:color w:val="auto"/>
          <w:sz w:val="21"/>
          <w:szCs w:val="21"/>
          <w:highlight w:val="none"/>
          <w:lang w:val="en-US" w:eastAsia="zh-CN" w:bidi="ar-SA"/>
        </w:rPr>
        <w:t>’</w:t>
      </w:r>
      <w:r>
        <w:rPr>
          <w:rFonts w:hint="eastAsia" w:eastAsia="宋体" w:cs="Times New Roman"/>
          <w:b/>
          <w:bCs/>
          <w:color w:val="auto"/>
          <w:sz w:val="21"/>
          <w:szCs w:val="21"/>
          <w:highlight w:val="none"/>
          <w:lang w:val="en-US" w:eastAsia="zh-CN" w:bidi="ar-SA"/>
        </w:rPr>
        <w:t>s LS reply approved in RAN1#108 meeting, not any requirement enhancement or additional relation clarification is needed between Pcmax and P-MPR.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>Reference</w:t>
      </w:r>
    </w:p>
    <w:p>
      <w:pPr>
        <w:pStyle w:val="9"/>
        <w:rPr>
          <w:color w:val="auto"/>
        </w:rPr>
      </w:pPr>
      <w:r>
        <w:rPr>
          <w:rFonts w:hint="eastAsia"/>
          <w:color w:val="auto"/>
          <w:lang w:val="en-US" w:eastAsia="zh-CN"/>
        </w:rPr>
        <w:t>R4-2</w:t>
      </w:r>
      <w:r>
        <w:rPr>
          <w:rFonts w:hint="eastAsia"/>
          <w:color w:val="auto"/>
          <w:highlight w:val="none"/>
          <w:lang w:val="en-US" w:eastAsia="zh-CN"/>
        </w:rPr>
        <w:t>206603</w:t>
      </w:r>
      <w:r>
        <w:rPr>
          <w:rFonts w:hint="eastAsia"/>
          <w:color w:val="auto"/>
          <w:lang w:val="en-US" w:eastAsia="zh-CN"/>
        </w:rPr>
        <w:t xml:space="preserve">, </w:t>
      </w:r>
      <w:r>
        <w:rPr>
          <w:rFonts w:hint="default"/>
          <w:color w:val="auto"/>
          <w:lang w:val="en-US" w:eastAsia="zh-CN"/>
        </w:rPr>
        <w:t>“</w:t>
      </w:r>
      <w:r>
        <w:rPr>
          <w:rFonts w:hint="eastAsia"/>
          <w:color w:val="auto"/>
          <w:lang w:val="en-US" w:eastAsia="zh-CN"/>
        </w:rPr>
        <w:t>WF on RF impact of FeMIMO</w:t>
      </w:r>
      <w:r>
        <w:rPr>
          <w:rFonts w:hint="default"/>
          <w:color w:val="auto"/>
          <w:lang w:val="en-US" w:eastAsia="zh-CN"/>
        </w:rPr>
        <w:t>”</w:t>
      </w:r>
      <w:r>
        <w:rPr>
          <w:rFonts w:hint="eastAsia"/>
          <w:color w:val="auto"/>
          <w:lang w:val="en-US" w:eastAsia="zh-CN"/>
        </w:rPr>
        <w:t>, Samsung.</w:t>
      </w:r>
    </w:p>
    <w:p>
      <w:pPr>
        <w:pStyle w:val="9"/>
        <w:bidi w:val="0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Chair's Notes RAN1#10</w:t>
      </w:r>
      <w:r>
        <w:rPr>
          <w:rFonts w:hint="eastAsia"/>
          <w:lang w:val="en-US" w:eastAsia="zh-CN"/>
        </w:rPr>
        <w:t>5</w:t>
      </w:r>
      <w:r>
        <w:rPr>
          <w:rFonts w:hint="default"/>
          <w:lang w:val="en-US" w:eastAsia="zh-CN"/>
        </w:rPr>
        <w:t>-e</w:t>
      </w:r>
    </w:p>
    <w:p>
      <w:pPr>
        <w:pStyle w:val="9"/>
        <w:bidi w:val="0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Chair's Notes RAN1#106-e</w:t>
      </w:r>
    </w:p>
    <w:p>
      <w:pPr>
        <w:pStyle w:val="9"/>
        <w:bidi w:val="0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Chair's Notes RAN1#106bis-e</w:t>
      </w:r>
    </w:p>
    <w:p>
      <w:pPr>
        <w:pStyle w:val="9"/>
        <w:rPr>
          <w:color w:val="auto"/>
        </w:rPr>
      </w:pPr>
      <w:r>
        <w:rPr>
          <w:rFonts w:hint="eastAsia"/>
          <w:color w:val="auto"/>
          <w:lang w:val="en-US" w:eastAsia="zh-CN"/>
        </w:rPr>
        <w:t xml:space="preserve">R1-2202765, </w:t>
      </w:r>
      <w:r>
        <w:rPr>
          <w:rFonts w:hint="default"/>
          <w:color w:val="auto"/>
          <w:lang w:val="en-US" w:eastAsia="zh-CN"/>
        </w:rPr>
        <w:t>“</w:t>
      </w:r>
      <w:bookmarkStart w:id="3" w:name="_Hlk94247954"/>
      <w:r>
        <w:rPr>
          <w:rFonts w:hint="default"/>
          <w:color w:val="auto"/>
          <w:lang w:val="en-US" w:eastAsia="zh-CN"/>
        </w:rPr>
        <w:t>Follow up LS on feMIMO RRC parameters</w:t>
      </w:r>
      <w:bookmarkEnd w:id="3"/>
      <w:r>
        <w:rPr>
          <w:rFonts w:hint="default"/>
          <w:color w:val="auto"/>
          <w:lang w:val="en-US" w:eastAsia="zh-CN"/>
        </w:rPr>
        <w:t>”</w:t>
      </w:r>
      <w:r>
        <w:rPr>
          <w:rFonts w:hint="eastAsia"/>
          <w:color w:val="auto"/>
          <w:lang w:val="en-US" w:eastAsia="zh-CN"/>
        </w:rPr>
        <w:t>, RAN1</w:t>
      </w:r>
    </w:p>
    <w:p>
      <w:pPr>
        <w:pStyle w:val="9"/>
        <w:numPr>
          <w:ilvl w:val="0"/>
          <w:numId w:val="0"/>
        </w:numPr>
        <w:ind w:leftChars="0"/>
        <w:rPr>
          <w:color w:val="auto"/>
        </w:rPr>
      </w:pP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modern"/>
    <w:pitch w:val="default"/>
    <w:sig w:usb0="900002AF" w:usb1="01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 w:eastAsia="zh-CN"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19BF726B"/>
    <w:multiLevelType w:val="multilevel"/>
    <w:tmpl w:val="19BF726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68519EC"/>
    <w:multiLevelType w:val="multilevel"/>
    <w:tmpl w:val="468519EC"/>
    <w:lvl w:ilvl="0" w:tentative="0">
      <w:start w:val="0"/>
      <w:numFmt w:val="bullet"/>
      <w:lvlText w:val="-"/>
      <w:lvlJc w:val="left"/>
      <w:pPr>
        <w:ind w:left="760" w:hanging="360"/>
      </w:pPr>
      <w:rPr>
        <w:rFonts w:hint="default" w:ascii="Times" w:hAnsi="Times" w:eastAsia="Batang" w:cs="Times"/>
      </w:rPr>
    </w:lvl>
    <w:lvl w:ilvl="1" w:tentative="0">
      <w:start w:val="1"/>
      <w:numFmt w:val="bullet"/>
      <w:lvlText w:val="o"/>
      <w:lvlJc w:val="left"/>
      <w:pPr>
        <w:ind w:left="1200" w:hanging="40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"/>
      <w:lvlJc w:val="left"/>
      <w:pPr>
        <w:ind w:left="1600" w:hanging="40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00" w:hanging="40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0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0" w:hanging="40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00" w:hanging="40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00" w:hanging="40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00" w:hanging="400"/>
      </w:pPr>
      <w:rPr>
        <w:rFonts w:hint="default" w:ascii="Wingdings" w:hAnsi="Wingdings"/>
      </w:rPr>
    </w:lvl>
  </w:abstractNum>
  <w:abstractNum w:abstractNumId="3">
    <w:nsid w:val="4D6E3167"/>
    <w:multiLevelType w:val="multilevel"/>
    <w:tmpl w:val="4D6E3167"/>
    <w:lvl w:ilvl="0" w:tentative="0">
      <w:start w:val="1"/>
      <w:numFmt w:val="decimal"/>
      <w:pStyle w:val="41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12E28D3"/>
    <w:multiLevelType w:val="multilevel"/>
    <w:tmpl w:val="512E28D3"/>
    <w:lvl w:ilvl="0" w:tentative="0">
      <w:start w:val="0"/>
      <w:numFmt w:val="bullet"/>
      <w:lvlText w:val="-"/>
      <w:lvlJc w:val="left"/>
      <w:pPr>
        <w:ind w:left="76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1200" w:hanging="40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00" w:hanging="40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00" w:hanging="40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0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0" w:hanging="40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00" w:hanging="40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00" w:hanging="40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00" w:hanging="400"/>
      </w:pPr>
      <w:rPr>
        <w:rFonts w:hint="default" w:ascii="Wingdings" w:hAnsi="Wingdings"/>
      </w:rPr>
    </w:lvl>
  </w:abstractNum>
  <w:abstractNum w:abstractNumId="5">
    <w:nsid w:val="56123AE4"/>
    <w:multiLevelType w:val="multilevel"/>
    <w:tmpl w:val="56123AE4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2813F17"/>
    <w:multiLevelType w:val="multilevel"/>
    <w:tmpl w:val="62813F17"/>
    <w:lvl w:ilvl="0" w:tentative="0">
      <w:start w:val="1"/>
      <w:numFmt w:val="bullet"/>
      <w:lvlText w:val=""/>
      <w:lvlJc w:val="left"/>
      <w:pPr>
        <w:tabs>
          <w:tab w:val="left" w:pos="-420"/>
        </w:tabs>
        <w:ind w:left="30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hint="default" w:ascii="Wingdings" w:hAnsi="Wingdings"/>
      </w:rPr>
    </w:lvl>
  </w:abstractNum>
  <w:abstractNum w:abstractNumId="7">
    <w:nsid w:val="64C51584"/>
    <w:multiLevelType w:val="multilevel"/>
    <w:tmpl w:val="64C51584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6B5B4F67"/>
    <w:multiLevelType w:val="multilevel"/>
    <w:tmpl w:val="6B5B4F67"/>
    <w:lvl w:ilvl="0" w:tentative="0">
      <w:start w:val="1"/>
      <w:numFmt w:val="decimal"/>
      <w:pStyle w:val="9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4"/>
  </w:num>
  <w:num w:numId="5">
    <w:abstractNumId w:val="6"/>
  </w:num>
  <w:num w:numId="6">
    <w:abstractNumId w:val="7"/>
  </w:num>
  <w:num w:numId="7">
    <w:abstractNumId w:val="5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C58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6A6A"/>
    <w:rsid w:val="00226C69"/>
    <w:rsid w:val="002275A9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3D80C35"/>
    <w:rsid w:val="0405471F"/>
    <w:rsid w:val="045D5DCE"/>
    <w:rsid w:val="05200480"/>
    <w:rsid w:val="06AA1695"/>
    <w:rsid w:val="07CD3CDD"/>
    <w:rsid w:val="0C5A35F9"/>
    <w:rsid w:val="0CC1076F"/>
    <w:rsid w:val="0F4B67EF"/>
    <w:rsid w:val="0F5E2230"/>
    <w:rsid w:val="10845506"/>
    <w:rsid w:val="10DA5664"/>
    <w:rsid w:val="10F01192"/>
    <w:rsid w:val="12CB53F3"/>
    <w:rsid w:val="13060AA5"/>
    <w:rsid w:val="16133E3F"/>
    <w:rsid w:val="16E7731D"/>
    <w:rsid w:val="17542C92"/>
    <w:rsid w:val="17AC3E9B"/>
    <w:rsid w:val="18AA5B3E"/>
    <w:rsid w:val="19074ED7"/>
    <w:rsid w:val="194122C5"/>
    <w:rsid w:val="1B5A5199"/>
    <w:rsid w:val="1BD31CD2"/>
    <w:rsid w:val="1F19538C"/>
    <w:rsid w:val="2082712A"/>
    <w:rsid w:val="21B11B74"/>
    <w:rsid w:val="231F3A56"/>
    <w:rsid w:val="24715F69"/>
    <w:rsid w:val="263D51AB"/>
    <w:rsid w:val="27CE4B9B"/>
    <w:rsid w:val="2B034D47"/>
    <w:rsid w:val="2CC92235"/>
    <w:rsid w:val="2D8824A9"/>
    <w:rsid w:val="2DBD3842"/>
    <w:rsid w:val="2DBD3CB8"/>
    <w:rsid w:val="2E1176AC"/>
    <w:rsid w:val="2ECB7AE0"/>
    <w:rsid w:val="2F196F3B"/>
    <w:rsid w:val="2F6A7113"/>
    <w:rsid w:val="30C973EB"/>
    <w:rsid w:val="33672BF5"/>
    <w:rsid w:val="347811E5"/>
    <w:rsid w:val="350312A7"/>
    <w:rsid w:val="3C4E1516"/>
    <w:rsid w:val="3D0F477C"/>
    <w:rsid w:val="3D6F2596"/>
    <w:rsid w:val="3FF32B7B"/>
    <w:rsid w:val="404F7A6B"/>
    <w:rsid w:val="40C765F3"/>
    <w:rsid w:val="40CC463F"/>
    <w:rsid w:val="42CE6A0F"/>
    <w:rsid w:val="42E26F89"/>
    <w:rsid w:val="43C320E4"/>
    <w:rsid w:val="442D6965"/>
    <w:rsid w:val="455509E4"/>
    <w:rsid w:val="45F60A50"/>
    <w:rsid w:val="46157ABD"/>
    <w:rsid w:val="46280997"/>
    <w:rsid w:val="477801EF"/>
    <w:rsid w:val="47DB43C5"/>
    <w:rsid w:val="4CC53F61"/>
    <w:rsid w:val="4D202C71"/>
    <w:rsid w:val="4D513299"/>
    <w:rsid w:val="4E6F0AEA"/>
    <w:rsid w:val="4EA56C23"/>
    <w:rsid w:val="4F0B3630"/>
    <w:rsid w:val="4F9305DC"/>
    <w:rsid w:val="4FBD6EC5"/>
    <w:rsid w:val="517202D3"/>
    <w:rsid w:val="51B14BED"/>
    <w:rsid w:val="51CF00E7"/>
    <w:rsid w:val="52F664E7"/>
    <w:rsid w:val="52FE4FB2"/>
    <w:rsid w:val="5342118C"/>
    <w:rsid w:val="54175BE1"/>
    <w:rsid w:val="544A23E1"/>
    <w:rsid w:val="560E743D"/>
    <w:rsid w:val="564B25D4"/>
    <w:rsid w:val="566165B2"/>
    <w:rsid w:val="56D06899"/>
    <w:rsid w:val="58C80CE9"/>
    <w:rsid w:val="58E11E6E"/>
    <w:rsid w:val="590733E0"/>
    <w:rsid w:val="59E05DA7"/>
    <w:rsid w:val="5A151B9F"/>
    <w:rsid w:val="5A26004C"/>
    <w:rsid w:val="5B0524C2"/>
    <w:rsid w:val="5D103461"/>
    <w:rsid w:val="5DCE6073"/>
    <w:rsid w:val="5F7F3C30"/>
    <w:rsid w:val="60552863"/>
    <w:rsid w:val="6086070B"/>
    <w:rsid w:val="63357437"/>
    <w:rsid w:val="6544784D"/>
    <w:rsid w:val="65CD0C5C"/>
    <w:rsid w:val="65F872D3"/>
    <w:rsid w:val="66E759DF"/>
    <w:rsid w:val="67745252"/>
    <w:rsid w:val="68105991"/>
    <w:rsid w:val="68797DD1"/>
    <w:rsid w:val="68A411BE"/>
    <w:rsid w:val="6BD66290"/>
    <w:rsid w:val="6C7858D5"/>
    <w:rsid w:val="6CF36133"/>
    <w:rsid w:val="6DDE3DAF"/>
    <w:rsid w:val="70A55C85"/>
    <w:rsid w:val="7123768D"/>
    <w:rsid w:val="715F4C2D"/>
    <w:rsid w:val="76DB757D"/>
    <w:rsid w:val="77770209"/>
    <w:rsid w:val="77B7237F"/>
    <w:rsid w:val="79212E3C"/>
    <w:rsid w:val="7AB943F6"/>
    <w:rsid w:val="7C45431D"/>
    <w:rsid w:val="7C963B24"/>
    <w:rsid w:val="7DDD0501"/>
    <w:rsid w:val="7E2B63E7"/>
    <w:rsid w:val="7E935AFB"/>
    <w:rsid w:val="7FA91BE9"/>
    <w:rsid w:val="7FC9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3"/>
    <w:link w:val="20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4">
    <w:name w:val="heading 2"/>
    <w:basedOn w:val="1"/>
    <w:next w:val="1"/>
    <w:link w:val="21"/>
    <w:qFormat/>
    <w:uiPriority w:val="0"/>
    <w:pPr>
      <w:keepNext/>
      <w:spacing w:before="240" w:after="60"/>
      <w:outlineLvl w:val="1"/>
    </w:pPr>
    <w:rPr>
      <w:rFonts w:ascii="Helvetica" w:hAnsi="Helvetica" w:eastAsia="MS Mincho"/>
      <w:b/>
      <w:bCs/>
      <w:iCs/>
      <w:szCs w:val="28"/>
      <w:lang w:val="zh-CN"/>
    </w:rPr>
  </w:style>
  <w:style w:type="paragraph" w:styleId="5">
    <w:name w:val="heading 3"/>
    <w:basedOn w:val="4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2"/>
    </w:pPr>
    <w:rPr>
      <w:sz w:val="32"/>
      <w:szCs w:val="32"/>
    </w:rPr>
  </w:style>
  <w:style w:type="character" w:default="1" w:styleId="18">
    <w:name w:val="Default Paragraph Font"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2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2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annotation text"/>
    <w:basedOn w:val="1"/>
    <w:semiHidden/>
    <w:unhideWhenUsed/>
    <w:qFormat/>
    <w:uiPriority w:val="0"/>
    <w:pPr>
      <w:jc w:val="left"/>
    </w:pPr>
  </w:style>
  <w:style w:type="paragraph" w:styleId="9">
    <w:name w:val="List 2"/>
    <w:basedOn w:val="10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0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1">
    <w:name w:val="Date"/>
    <w:basedOn w:val="1"/>
    <w:next w:val="1"/>
    <w:link w:val="45"/>
    <w:semiHidden/>
    <w:unhideWhenUsed/>
    <w:qFormat/>
    <w:uiPriority w:val="99"/>
    <w:pPr>
      <w:ind w:left="100" w:leftChars="2500"/>
    </w:pPr>
  </w:style>
  <w:style w:type="paragraph" w:styleId="12">
    <w:name w:val="Balloon Text"/>
    <w:basedOn w:val="1"/>
    <w:link w:val="26"/>
    <w:semiHidden/>
    <w:unhideWhenUsed/>
    <w:qFormat/>
    <w:uiPriority w:val="99"/>
    <w:rPr>
      <w:sz w:val="18"/>
      <w:szCs w:val="18"/>
      <w:lang w:val="zh-CN"/>
    </w:rPr>
  </w:style>
  <w:style w:type="paragraph" w:styleId="13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4">
    <w:name w:val="header"/>
    <w:basedOn w:val="1"/>
    <w:link w:val="23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5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table" w:styleId="17">
    <w:name w:val="Table Grid"/>
    <w:basedOn w:val="1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Hyperlink"/>
    <w:qFormat/>
    <w:uiPriority w:val="99"/>
    <w:rPr>
      <w:color w:val="0000FF"/>
      <w:u w:val="single"/>
    </w:rPr>
  </w:style>
  <w:style w:type="character" w:customStyle="1" w:styleId="20">
    <w:name w:val="Heading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1">
    <w:name w:val="Heading 2 Char1"/>
    <w:link w:val="4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2">
    <w:name w:val="Body Text Char"/>
    <w:link w:val="3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3">
    <w:name w:val="Header Char"/>
    <w:link w:val="14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4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5">
    <w:name w:val="Footer Char"/>
    <w:link w:val="13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6">
    <w:name w:val="Balloon Text Char"/>
    <w:link w:val="12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7">
    <w:name w:val="List Paragraph"/>
    <w:basedOn w:val="1"/>
    <w:link w:val="43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28">
    <w:name w:val="Document Map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29">
    <w:name w:val="B1"/>
    <w:basedOn w:val="10"/>
    <w:link w:val="30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0">
    <w:name w:val="B1 (文字)"/>
    <w:link w:val="2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1">
    <w:name w:val="B1 Char1"/>
    <w:qFormat/>
    <w:uiPriority w:val="0"/>
    <w:rPr>
      <w:lang w:val="en-GB" w:eastAsia="en-US"/>
    </w:rPr>
  </w:style>
  <w:style w:type="paragraph" w:customStyle="1" w:styleId="32">
    <w:name w:val="TAH"/>
    <w:basedOn w:val="33"/>
    <w:link w:val="38"/>
    <w:qFormat/>
    <w:uiPriority w:val="0"/>
    <w:rPr>
      <w:b/>
    </w:rPr>
  </w:style>
  <w:style w:type="paragraph" w:customStyle="1" w:styleId="33">
    <w:name w:val="TAC"/>
    <w:basedOn w:val="34"/>
    <w:link w:val="37"/>
    <w:qFormat/>
    <w:uiPriority w:val="0"/>
    <w:pPr>
      <w:keepNext/>
      <w:keepLines/>
      <w:jc w:val="center"/>
    </w:pPr>
    <w:rPr>
      <w:rFonts w:ascii="Arial" w:hAnsi="Arial" w:eastAsia="宋体"/>
      <w:sz w:val="18"/>
      <w:szCs w:val="20"/>
      <w:lang w:val="en-GB" w:eastAsia="zh-CN"/>
    </w:rPr>
  </w:style>
  <w:style w:type="paragraph" w:customStyle="1" w:styleId="34">
    <w:name w:val="TAL"/>
    <w:basedOn w:val="1"/>
    <w:link w:val="47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5">
    <w:name w:val="TH"/>
    <w:basedOn w:val="1"/>
    <w:link w:val="36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6">
    <w:name w:val="TH Char"/>
    <w:link w:val="35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7">
    <w:name w:val="TAC Char"/>
    <w:link w:val="33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38">
    <w:name w:val="TAH Car"/>
    <w:link w:val="32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3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0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1">
    <w:name w:val="RAN4 proposal"/>
    <w:basedOn w:val="6"/>
    <w:next w:val="1"/>
    <w:link w:val="42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2">
    <w:name w:val="RAN4 proposal Char"/>
    <w:link w:val="41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3">
    <w:name w:val="List Paragraph Char"/>
    <w:link w:val="27"/>
    <w:qFormat/>
    <w:uiPriority w:val="34"/>
    <w:rPr>
      <w:kern w:val="2"/>
      <w:sz w:val="21"/>
      <w:szCs w:val="22"/>
    </w:rPr>
  </w:style>
  <w:style w:type="character" w:customStyle="1" w:styleId="44">
    <w:name w:val="ZGSM"/>
    <w:qFormat/>
    <w:uiPriority w:val="0"/>
  </w:style>
  <w:style w:type="character" w:customStyle="1" w:styleId="45">
    <w:name w:val="Date Char"/>
    <w:link w:val="11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7">
    <w:name w:val="TAL Char"/>
    <w:link w:val="34"/>
    <w:qFormat/>
    <w:uiPriority w:val="0"/>
    <w:rPr>
      <w:rFonts w:ascii="Arial" w:hAnsi="Arial"/>
      <w:sz w:val="18"/>
      <w:lang w:val="en-GB" w:eastAsia="en-US"/>
    </w:rPr>
  </w:style>
  <w:style w:type="character" w:customStyle="1" w:styleId="48">
    <w:name w:val="Heading 3 Char"/>
    <w:link w:val="5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49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0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548</Words>
  <Characters>3128</Characters>
  <Lines>26</Lines>
  <Paragraphs>7</Paragraphs>
  <TotalTime>0</TotalTime>
  <ScaleCrop>false</ScaleCrop>
  <LinksUpToDate>false</LinksUpToDate>
  <CharactersWithSpaces>3669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Aijun CAO</dc:creator>
  <cp:lastModifiedBy>ZTE</cp:lastModifiedBy>
  <cp:lastPrinted>2015-02-02T11:17:00Z</cp:lastPrinted>
  <dcterms:modified xsi:type="dcterms:W3CDTF">2022-04-25T10:07:28Z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